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1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861856" w:rsidTr="00861856">
        <w:tc>
          <w:tcPr>
            <w:tcW w:w="19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  <w:hideMark/>
          </w:tcPr>
          <w:p w:rsidR="00861856" w:rsidRDefault="00861856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Menadžment ljudskih resursa</w:t>
            </w:r>
          </w:p>
        </w:tc>
      </w:tr>
      <w:tr w:rsidR="00861856" w:rsidTr="00861856">
        <w:trPr>
          <w:trHeight w:val="446"/>
        </w:trPr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Style w:val="Strong"/>
                <w:rFonts w:ascii="Arial" w:hAnsi="Arial" w:cs="Arial"/>
                <w:b w:val="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EUB202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3.</w: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  <w:lang w:eastAsia="hr-HR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Prof. dr. sc. Srećko Goić</w:t>
            </w:r>
          </w:p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Izv. prof. dr. sc. Danica Bakotić</w:t>
            </w:r>
          </w:p>
          <w:p w:rsidR="0091235F" w:rsidRDefault="0091235F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91235F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Izv. prof. dr. sc. Ivana Tadić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</w:p>
        </w:tc>
      </w:tr>
      <w:tr w:rsidR="00861856" w:rsidTr="00861856">
        <w:trPr>
          <w:trHeight w:val="345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228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Način izvođenja nastave (broj sati u semestru)</w:t>
            </w: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S</w:t>
            </w: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V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T</w:t>
            </w:r>
          </w:p>
        </w:tc>
      </w:tr>
      <w:tr w:rsidR="00861856" w:rsidTr="00861856">
        <w:trPr>
          <w:trHeight w:val="345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25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2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1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30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Status predmeta</w:t>
            </w:r>
          </w:p>
        </w:tc>
        <w:tc>
          <w:tcPr>
            <w:tcW w:w="250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Obvezni</w:t>
            </w:r>
          </w:p>
        </w:tc>
        <w:tc>
          <w:tcPr>
            <w:tcW w:w="22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20%</w:t>
            </w:r>
          </w:p>
        </w:tc>
      </w:tr>
      <w:tr w:rsidR="00861856" w:rsidTr="00861856">
        <w:tc>
          <w:tcPr>
            <w:tcW w:w="9465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OPIS PREDMETA</w:t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Cilj predmeta je osigurati stjecanje vještina i sposobnosti za uspješno upravljanje ljudskim resursima. Studenti će ovladati temeljnim konceptima upravljanja ljudskim resursima primjenjivim u svim organizacijama.</w:t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Preduvjeti za upis propisani su Statutom Ekonomskog fakulteta, te Pravilnikom o studiju i studiranju.</w:t>
            </w:r>
          </w:p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861856" w:rsidRPr="004855BF" w:rsidRDefault="00861856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855BF"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Ishod učenja predmeta: </w:t>
            </w:r>
          </w:p>
          <w:p w:rsidR="00861856" w:rsidRDefault="0086185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Analizirati, identificirati i komentirati teorijske i praktične aspekte upravljanja ljudskim resursima</w:t>
            </w:r>
            <w:r w:rsidR="00471F6B">
              <w:rPr>
                <w:rFonts w:ascii="Arial" w:hAnsi="Arial" w:cs="Arial"/>
                <w:sz w:val="20"/>
                <w:szCs w:val="20"/>
                <w:lang w:eastAsia="hr-HR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861856" w:rsidRDefault="00861856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  <w:p w:rsidR="00861856" w:rsidRPr="004855BF" w:rsidRDefault="00861856">
            <w:pPr>
              <w:spacing w:after="0"/>
              <w:jc w:val="both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 w:rsidRPr="004855BF">
              <w:rPr>
                <w:rFonts w:ascii="Arial" w:hAnsi="Arial" w:cs="Arial"/>
                <w:b/>
                <w:sz w:val="20"/>
                <w:szCs w:val="20"/>
                <w:lang w:eastAsia="hr-HR"/>
              </w:rPr>
              <w:t>Pojedinačni ishodi učenja:</w:t>
            </w:r>
          </w:p>
          <w:p w:rsidR="00D81A8B" w:rsidRPr="00F579C9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karakteristike poslovnog i općeg okruženja kao podlogu za dizajniranje sustava menadžmenta ljudskih resursa.</w:t>
            </w:r>
          </w:p>
          <w:p w:rsidR="00D81A8B" w:rsidRPr="00F579C9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Oblikovati radna mjesta i izraditi planove potrebnih ljudskih resursa.</w:t>
            </w:r>
          </w:p>
          <w:p w:rsidR="00861856" w:rsidRPr="00F579C9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Analizirati različite metode i tehnike privlačenja, odabira i zadržavanja zaposlenika.</w:t>
            </w:r>
          </w:p>
          <w:p w:rsidR="00D81A8B" w:rsidRPr="00F579C9" w:rsidRDefault="00D81A8B" w:rsidP="00D81A8B">
            <w:pPr>
              <w:numPr>
                <w:ilvl w:val="0"/>
                <w:numId w:val="1"/>
              </w:numPr>
              <w:spacing w:after="0"/>
              <w:contextualSpacing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Konstruirati sustav za procjenu performansi (osobina/učinka) zaposlenika.</w:t>
            </w:r>
          </w:p>
          <w:p w:rsidR="00D81A8B" w:rsidRPr="00F579C9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Procijeniti različite elemente kompenzacijskog sustava radi obračuna kompenzacija za radna mjesta u poduzeću.</w:t>
            </w:r>
          </w:p>
          <w:p w:rsidR="00D81A8B" w:rsidRDefault="00D81A8B" w:rsidP="00D81A8B">
            <w:pPr>
              <w:pStyle w:val="ListParagraph"/>
              <w:numPr>
                <w:ilvl w:val="0"/>
                <w:numId w:val="1"/>
              </w:num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F579C9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Razlikovati radno-pravne aspekte zapošljavanja, zaštite i unapređenja uvjeta rada i života zaposlenih.</w:t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tbl>
            <w:tblPr>
              <w:tblW w:w="485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3217"/>
              <w:gridCol w:w="418"/>
              <w:gridCol w:w="3015"/>
              <w:gridCol w:w="555"/>
            </w:tblGrid>
            <w:tr w:rsidR="00861856">
              <w:tc>
                <w:tcPr>
                  <w:tcW w:w="363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Predavanja</w:t>
                  </w:r>
                </w:p>
              </w:tc>
              <w:tc>
                <w:tcPr>
                  <w:tcW w:w="3572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Vježbe / Seminar</w:t>
                  </w:r>
                </w:p>
              </w:tc>
            </w:tr>
            <w:tr w:rsidR="00861856">
              <w:trPr>
                <w:cantSplit/>
                <w:trHeight w:val="428"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Tema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b/>
                      <w:bCs/>
                      <w:sz w:val="20"/>
                      <w:szCs w:val="20"/>
                      <w:lang w:eastAsia="hr-HR"/>
                    </w:rPr>
                    <w:t>Sati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Pojam i sadržaj menadžmenta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utjecaja promjenama iz internog i eksternog okruženja na upravljanje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Analiza i dizajniranje radnih mjesta.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Kreiranje opisa radnog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Planiranje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Proračun potrebnog fonda radnog vremena i potrebnog broja 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Regrutiranje ljudskih resursa.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Regrutiranje zaposlenika putem različitih kanala i medija.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lastRenderedPageBreak/>
                    <w:t>Selekcija ljudskih resursa.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i primjena različitih selekcijskih tehnika.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Orijentacija, obuka i razvoj kadrova.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i diskusija na temelju studije slučaja (orijentacija, obuka i razvoj karijere).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Motivacija i zadovoljstvo na radu. 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Utvrđivanje ključnih motivacijskih faktora.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performansi (osobina/ radnog učinka) zaposlenika.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performansi na temelju odabranog primjera.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Kompenzacije I.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Procjena složenosti radnih mjesta različitim metodama procjene.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 w:rsidP="00F579C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Komp</w:t>
                  </w:r>
                  <w:r w:rsidR="00F579C9"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e</w:t>
                  </w: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nzacije II.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Izračun iznosa plaća odabranih radnih mjesta.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Radni odnosi.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Analiza odabranih primjera kolektivnih ugovora.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Zaštita i unapređenje uvjeta rada i života zaposlenih.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Različiti oblici zaštite zaposlenih.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Informacijski sustav ljudskih resursa.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Informacijski sustav ljudskih resursa.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 xml:space="preserve">Organizacija upravljanja </w:t>
                  </w:r>
                </w:p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ljudskim resursima.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Integrirana studija slučaja upravljanja ljudskim resursima.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  <w:tr w:rsidR="00861856">
              <w:trPr>
                <w:cantSplit/>
              </w:trPr>
              <w:tc>
                <w:tcPr>
                  <w:tcW w:w="32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Ponavljanje i utvrđivanje gradiva</w:t>
                  </w:r>
                </w:p>
              </w:tc>
              <w:tc>
                <w:tcPr>
                  <w:tcW w:w="4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  <w:tc>
                <w:tcPr>
                  <w:tcW w:w="30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Ponavljanje gradiva i priprema za ispit.</w:t>
                  </w:r>
                </w:p>
              </w:tc>
              <w:tc>
                <w:tcPr>
                  <w:tcW w:w="55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861856" w:rsidRDefault="00861856">
                  <w:pPr>
                    <w:spacing w:after="0"/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  <w:lang w:eastAsia="hr-HR"/>
                    </w:rPr>
                    <w:t>2</w:t>
                  </w:r>
                </w:p>
              </w:tc>
            </w:tr>
          </w:tbl>
          <w:p w:rsidR="00861856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861856" w:rsidTr="00861856">
        <w:trPr>
          <w:trHeight w:val="349"/>
        </w:trPr>
        <w:tc>
          <w:tcPr>
            <w:tcW w:w="191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samostalni  zadaci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 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MS Gothic" w:eastAsia="MS Gothic" w:hAnsi="MS Gothic" w:cs="MS Gothic" w:hint="eastAsia"/>
                <w:sz w:val="20"/>
                <w:szCs w:val="20"/>
                <w:lang w:eastAsia="hr-HR"/>
              </w:rPr>
              <w:t>☐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CF0DBC"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  <w:bdr w:val="single" w:sz="12" w:space="0" w:color="auto" w:frame="1"/>
                <w:lang w:eastAsia="hr-HR"/>
              </w:rPr>
              <w:t xml:space="preserve"> </w:t>
            </w:r>
          </w:p>
        </w:tc>
      </w:tr>
      <w:tr w:rsidR="00861856" w:rsidTr="00861856">
        <w:trPr>
          <w:trHeight w:val="577"/>
        </w:trPr>
        <w:tc>
          <w:tcPr>
            <w:tcW w:w="60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20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3884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 w:rsidP="00F579C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Da bi ostvario pravo na potpis redovni student mora aktivno sudjelovati u najmanje 50% </w:t>
            </w:r>
            <w:r w:rsidR="00F579C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predavanja te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najmanje 70% vježbi.</w:t>
            </w:r>
          </w:p>
        </w:tc>
      </w:tr>
      <w:tr w:rsidR="00861856" w:rsidTr="00861856">
        <w:trPr>
          <w:trHeight w:val="397"/>
        </w:trPr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Praćenje rada studenata </w:t>
            </w:r>
            <w:r>
              <w:rPr>
                <w:rFonts w:ascii="Arial" w:hAnsi="Arial" w:cs="Arial"/>
                <w:i/>
                <w:sz w:val="20"/>
                <w:szCs w:val="20"/>
                <w:lang w:eastAsia="hr-HR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0,5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861856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Zadaci iz vježbi </w:t>
            </w:r>
            <w:r w:rsidR="00CF0D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CF0D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="00CF0D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CF0DBC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</w:p>
        </w:tc>
      </w:tr>
      <w:tr w:rsidR="00861856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 </w:t>
            </w: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861856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spacing w:after="0" w:line="240" w:lineRule="auto"/>
              <w:rPr>
                <w:lang w:eastAsia="hr-HR"/>
              </w:rPr>
            </w:pPr>
          </w:p>
        </w:tc>
      </w:tr>
      <w:tr w:rsidR="00861856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2,5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61856" w:rsidTr="00861856">
        <w:trPr>
          <w:trHeight w:val="397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Pismeni ispit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5</w:t>
            </w:r>
            <w:r w:rsidR="00471F6B">
              <w:rPr>
                <w:rFonts w:ascii="Arial" w:hAnsi="Arial" w:cs="Arial"/>
                <w:sz w:val="20"/>
                <w:szCs w:val="20"/>
                <w:lang w:eastAsia="hr-HR"/>
              </w:rPr>
              <w:t>*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Projekt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83E13" w:rsidRDefault="00861856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Tijekom semestra održat će se dva kolokvija</w:t>
            </w:r>
            <w:r w:rsidR="00F579C9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F579C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(teorijski dio gradiva)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, koji će donositi maksimalno po 50 bodova. Praktični dio gradiva provjeravat će se kroz četiri zadatka</w:t>
            </w:r>
            <w:r w:rsidR="00636B57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  <w:r w:rsidR="00636B57" w:rsidRPr="00636B5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(2 individualna + 2 grupna)</w:t>
            </w:r>
            <w:r w:rsidRPr="00636B57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,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koji će studentima donositi </w:t>
            </w:r>
            <w:r w:rsidR="001748B6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po </w:t>
            </w:r>
            <w:r w:rsidR="00F579C9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20, odnosno ukupno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maksimalno 80 bodova. Temeljem aktivnog sudjelovanja u nastavi studenti mogu ostvariti do 20 bodova. Student koji kroz rad tijekom nastave prikupi najmanje 120 bodova, s tim da je izradio najmanje 3 zadatka i iz svakog kolokvija dobio najmanje 25 bodova (te ukupno iz oba kolokvija najmanje 50 bodova), smatra se da je položio ispit te će mu biti ponuđena odgovarajuća ocjena.</w:t>
            </w:r>
            <w:r w:rsidR="00683E13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  <w:p w:rsidR="00861856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683E13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lastRenderedPageBreak/>
              <w:t xml:space="preserve">Bodovna ljestvica i odgovarajuće ocjene ostvarene u predroku su sljedeće: </w:t>
            </w:r>
          </w:p>
          <w:p w:rsidR="00683E13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120-130 dovoljan (2)</w:t>
            </w:r>
          </w:p>
          <w:p w:rsidR="00683E13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131-145 dobar (3)</w:t>
            </w:r>
          </w:p>
          <w:p w:rsidR="00683E13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146-160 vrlo</w:t>
            </w:r>
            <w:r w:rsidR="00E53A4B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dobar (4)</w:t>
            </w:r>
          </w:p>
          <w:p w:rsidR="00683E13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161-200 izvrstan (5)</w:t>
            </w:r>
          </w:p>
          <w:p w:rsidR="00683E13" w:rsidRDefault="00683E13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4855BF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471F6B">
              <w:rPr>
                <w:rFonts w:ascii="Arial" w:hAnsi="Arial" w:cs="Arial"/>
                <w:color w:val="FF0000"/>
                <w:sz w:val="20"/>
                <w:szCs w:val="20"/>
              </w:rPr>
              <w:t>*Ukoliko student tijekom nastave ne prikupi 120 bodova</w:t>
            </w:r>
            <w:r w:rsidR="00E53A4B">
              <w:rPr>
                <w:rFonts w:ascii="Arial" w:hAnsi="Arial" w:cs="Arial"/>
                <w:color w:val="FF0000"/>
                <w:sz w:val="20"/>
                <w:szCs w:val="20"/>
              </w:rPr>
              <w:t xml:space="preserve"> (</w:t>
            </w:r>
            <w:r w:rsidR="00590EF4">
              <w:rPr>
                <w:rFonts w:ascii="Arial" w:hAnsi="Arial" w:cs="Arial"/>
                <w:color w:val="FF0000"/>
                <w:sz w:val="20"/>
                <w:szCs w:val="20"/>
              </w:rPr>
              <w:t>odnosno ne zadovolji neki od ostalih traženih uvjeta za polaganje ispita u predroku</w:t>
            </w:r>
            <w:r w:rsidR="00E53A4B">
              <w:rPr>
                <w:rFonts w:ascii="Arial" w:hAnsi="Arial" w:cs="Arial"/>
                <w:color w:val="FF0000"/>
                <w:sz w:val="20"/>
                <w:szCs w:val="20"/>
              </w:rPr>
              <w:t>)</w:t>
            </w:r>
            <w:r w:rsidRPr="00471F6B">
              <w:rPr>
                <w:rFonts w:ascii="Arial" w:hAnsi="Arial" w:cs="Arial"/>
                <w:color w:val="FF0000"/>
                <w:sz w:val="20"/>
                <w:szCs w:val="20"/>
              </w:rPr>
              <w:t>, tada pristupa pismenom ispitu koji se sastoji o teorijskog dijela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(maksimalno 50 bodova)</w:t>
            </w:r>
            <w:r w:rsidRPr="00471F6B">
              <w:rPr>
                <w:rFonts w:ascii="Arial" w:hAnsi="Arial" w:cs="Arial"/>
                <w:color w:val="FF0000"/>
                <w:sz w:val="20"/>
                <w:szCs w:val="20"/>
              </w:rPr>
              <w:t xml:space="preserve"> i 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praktičnog dijela, odnosno </w:t>
            </w:r>
            <w:r w:rsidRPr="00471F6B">
              <w:rPr>
                <w:rFonts w:ascii="Arial" w:hAnsi="Arial" w:cs="Arial"/>
                <w:color w:val="FF0000"/>
                <w:sz w:val="20"/>
                <w:szCs w:val="20"/>
              </w:rPr>
              <w:t>dva zadatka</w:t>
            </w:r>
            <w:r>
              <w:rPr>
                <w:rFonts w:ascii="Arial" w:hAnsi="Arial" w:cs="Arial"/>
                <w:color w:val="FF0000"/>
                <w:sz w:val="20"/>
                <w:szCs w:val="20"/>
              </w:rPr>
              <w:t xml:space="preserve"> (maksimalno 50 bodova)</w:t>
            </w:r>
            <w:r w:rsidRPr="00471F6B">
              <w:rPr>
                <w:rFonts w:ascii="Arial" w:hAnsi="Arial" w:cs="Arial"/>
                <w:color w:val="FF0000"/>
                <w:sz w:val="20"/>
                <w:szCs w:val="20"/>
              </w:rPr>
              <w:t xml:space="preserve">. </w:t>
            </w:r>
            <w:r w:rsidR="008C448A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Za polaganje ispita, student treba ostvariti najmanje 25 bodova iz teorijskog dijela i najmanje 25 bodova iz praktičnog dijela, </w:t>
            </w:r>
            <w:r w:rsidR="00E53A4B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te</w:t>
            </w:r>
            <w:r w:rsidR="008C448A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ukupno najmanje 55 bodova. </w:t>
            </w:r>
            <w:bookmarkStart w:id="0" w:name="_GoBack"/>
            <w:bookmarkEnd w:id="0"/>
          </w:p>
          <w:p w:rsidR="004855BF" w:rsidRDefault="004855BF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</w:p>
          <w:p w:rsidR="008C448A" w:rsidRDefault="00471F6B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Ostvareni</w:t>
            </w:r>
            <w:r w:rsidR="008C448A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broj bodova se množi ponderom 2 te se ocjena formira prema sljedećoj ljestvici:</w:t>
            </w:r>
          </w:p>
          <w:p w:rsidR="008C448A" w:rsidRDefault="008C448A" w:rsidP="00683E13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110-130 dovoljan (2) </w:t>
            </w:r>
          </w:p>
          <w:p w:rsidR="008C448A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131-145 dobar (3)</w:t>
            </w:r>
          </w:p>
          <w:p w:rsidR="008C448A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146-160 vrlo</w:t>
            </w:r>
            <w:r w:rsidR="00E53A4B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dobar (4)</w:t>
            </w:r>
          </w:p>
          <w:p w:rsidR="00683E13" w:rsidRDefault="008C448A" w:rsidP="008C448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161-200 izvrstan (5)</w:t>
            </w:r>
          </w:p>
        </w:tc>
      </w:tr>
      <w:tr w:rsidR="00861856" w:rsidTr="00861856">
        <w:tc>
          <w:tcPr>
            <w:tcW w:w="1913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hr-HR"/>
              </w:rPr>
              <w:t>Dostupnost putem ostalih medija</w:t>
            </w:r>
          </w:p>
        </w:tc>
      </w:tr>
      <w:tr w:rsidR="00861856" w:rsidTr="00861856">
        <w:trPr>
          <w:trHeight w:val="503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A91E29" w:rsidP="00A91E29">
            <w:pPr>
              <w:spacing w:after="0"/>
              <w:jc w:val="both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Goić, S., Tadić, I. i Bakotić, D.: Management ljudskih resursa – nastavni materijali za internu uporabu (https://moodle.efst.hr)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A91E2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Web</w:t>
            </w:r>
          </w:p>
        </w:tc>
      </w:tr>
      <w:tr w:rsidR="00861856" w:rsidTr="00861856">
        <w:trPr>
          <w:trHeight w:val="75"/>
        </w:trPr>
        <w:tc>
          <w:tcPr>
            <w:tcW w:w="600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861856" w:rsidRDefault="00861856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479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A91E29" w:rsidP="00636B57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Buble, M.: </w:t>
            </w:r>
            <w:r w:rsidR="00636B57">
              <w:rPr>
                <w:rFonts w:ascii="Arial" w:hAnsi="Arial" w:cs="Arial"/>
                <w:sz w:val="20"/>
                <w:szCs w:val="20"/>
                <w:lang w:eastAsia="hr-HR"/>
              </w:rPr>
              <w:t>Menadžment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t>, Ekonomski fakultet, Split, 2006.</w:t>
            </w:r>
          </w:p>
        </w:tc>
        <w:tc>
          <w:tcPr>
            <w:tcW w:w="124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A91E29" w:rsidP="00A91E29">
            <w:pPr>
              <w:spacing w:after="0" w:line="240" w:lineRule="auto"/>
              <w:jc w:val="center"/>
              <w:rPr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20</w:t>
            </w:r>
          </w:p>
        </w:tc>
        <w:tc>
          <w:tcPr>
            <w:tcW w:w="1518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:rsidR="00861856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Dopunska literatura </w:t>
            </w:r>
          </w:p>
          <w:p w:rsidR="00861856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Bahtijarević-Šiber, F.: Management ljudskih potencijala, Golden marketing, Zagreb, 1999.  </w:t>
            </w:r>
          </w:p>
          <w:p w:rsidR="00EF402C" w:rsidRPr="00EF402C" w:rsidRDefault="00EF402C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</w:pPr>
            <w:r w:rsidRPr="00EF402C">
              <w:rPr>
                <w:rFonts w:ascii="Arial" w:hAnsi="Arial" w:cs="Arial"/>
                <w:color w:val="FF0000"/>
                <w:sz w:val="20"/>
                <w:szCs w:val="20"/>
                <w:lang w:val="en-US" w:eastAsia="hr-HR"/>
              </w:rPr>
              <w:t>Mathis, R. L., Jackson,</w:t>
            </w:r>
            <w:r w:rsidRPr="00EF402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 w:eastAsia="hr-HR"/>
              </w:rPr>
              <w:t xml:space="preserve"> </w:t>
            </w:r>
            <w:r w:rsidRPr="00EF402C">
              <w:rPr>
                <w:rFonts w:ascii="Arial" w:hAnsi="Arial" w:cs="Arial"/>
                <w:color w:val="FF0000"/>
                <w:sz w:val="20"/>
                <w:szCs w:val="20"/>
                <w:lang w:val="en-US" w:eastAsia="hr-HR"/>
              </w:rPr>
              <w:t xml:space="preserve">J. H.: </w:t>
            </w:r>
            <w:r w:rsidRPr="00EF402C">
              <w:rPr>
                <w:rFonts w:ascii="Arial" w:hAnsi="Arial" w:cs="Arial"/>
                <w:b/>
                <w:bCs/>
                <w:i/>
                <w:color w:val="FF0000"/>
                <w:sz w:val="20"/>
                <w:szCs w:val="20"/>
                <w:lang w:val="en-US" w:eastAsia="hr-HR"/>
              </w:rPr>
              <w:t>Human Resource Management,</w:t>
            </w:r>
            <w:r w:rsidRPr="00EF402C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US" w:eastAsia="hr-HR"/>
              </w:rPr>
              <w:t xml:space="preserve"> </w:t>
            </w:r>
            <w:r w:rsidRPr="00EF402C">
              <w:rPr>
                <w:rFonts w:ascii="Arial" w:hAnsi="Arial" w:cs="Arial"/>
                <w:color w:val="FF0000"/>
                <w:sz w:val="20"/>
                <w:szCs w:val="20"/>
                <w:lang w:val="en-US" w:eastAsia="hr-HR"/>
              </w:rPr>
              <w:t>Thomson South-Western, 2008.</w:t>
            </w:r>
          </w:p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Bohlander, W.G., Snell, S., Sherman, W.A.Jr.: Managing Human Resources, South-West College Publishing, Cincinnati, 2001.</w:t>
            </w:r>
          </w:p>
          <w:p w:rsidR="00861856" w:rsidRDefault="0086185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Marušić, S.: Upravljanje ljudskim potencijalima, ADECO - Ekonomski institut, Zagreb, 2001.</w:t>
            </w:r>
          </w:p>
          <w:p w:rsidR="00EF402C" w:rsidRDefault="00EF402C" w:rsidP="00EF402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 w:rsidRPr="00EF402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Bakotić, D., Goić, S.</w:t>
            </w:r>
            <w:r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>, Tadić, I.: Motivation of employees 50+, 6th Mediteranean interdisclipinary forum on social sciences and humanities, 2018.</w:t>
            </w:r>
            <w:r w:rsidRPr="00EF402C">
              <w:rPr>
                <w:rFonts w:ascii="Arial" w:hAnsi="Arial" w:cs="Arial"/>
                <w:color w:val="FF0000"/>
                <w:sz w:val="20"/>
                <w:szCs w:val="20"/>
                <w:lang w:eastAsia="hr-HR"/>
              </w:rPr>
              <w:t xml:space="preserve"> </w:t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861856" w:rsidP="00743FDA">
            <w:pPr>
              <w:pStyle w:val="ListParagraph"/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Praćenje pohađanja nastave i uspješnosti izvršenja ostalih obveza studenata (nastavnik).</w:t>
            </w:r>
          </w:p>
          <w:p w:rsidR="00861856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Nadzor izvođenja nastave (prodekan za nastavu).</w:t>
            </w:r>
          </w:p>
          <w:p w:rsidR="00861856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Analiza uspješnosti studiranja po svim predmetima studija (prodekan za nastavu).</w:t>
            </w:r>
          </w:p>
          <w:p w:rsidR="00861856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Studentska anketa o kvaliteti nastavnika i nastave za svaki predmet studija (UNIST, Centar za unaprjeđenje kvalitete).</w:t>
            </w:r>
          </w:p>
          <w:p w:rsidR="00861856" w:rsidRDefault="00861856" w:rsidP="00743FDA">
            <w:pPr>
              <w:numPr>
                <w:ilvl w:val="0"/>
                <w:numId w:val="2"/>
              </w:numPr>
              <w:tabs>
                <w:tab w:val="num" w:pos="360"/>
              </w:tabs>
              <w:spacing w:after="0" w:line="240" w:lineRule="auto"/>
              <w:ind w:left="360"/>
              <w:jc w:val="both"/>
              <w:rPr>
                <w:rFonts w:ascii="Arial" w:hAnsi="Arial" w:cs="Arial"/>
                <w:bCs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eastAsia="hr-HR"/>
              </w:rPr>
              <w:t>Ispitom koji provodi predmetni nastavnik provjeravaju se svi ishodi učenja predmeta. Periodično se vrši provjera sadržaja ispita, temeljem koje se utvrđuje primjerenost načina provjeravanja ishoda učenja (prodekan za nastavu).</w:t>
            </w:r>
          </w:p>
        </w:tc>
      </w:tr>
      <w:tr w:rsidR="00861856" w:rsidTr="00861856">
        <w:tc>
          <w:tcPr>
            <w:tcW w:w="191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861856" w:rsidRDefault="00861856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t xml:space="preserve">Ostalo (prema mišljenju 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t>predlagatelja)</w:t>
            </w:r>
          </w:p>
        </w:tc>
        <w:tc>
          <w:tcPr>
            <w:tcW w:w="7552" w:type="dxa"/>
            <w:gridSpan w:val="1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861856" w:rsidRDefault="00CF0DBC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lang w:eastAsia="hr-HR"/>
              </w:rPr>
            </w:pPr>
            <w:r>
              <w:rPr>
                <w:rFonts w:ascii="Arial" w:hAnsi="Arial" w:cs="Arial"/>
                <w:sz w:val="20"/>
                <w:szCs w:val="20"/>
                <w:lang w:eastAsia="hr-HR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separate"/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 w:rsidR="00861856">
              <w:rPr>
                <w:rFonts w:ascii="Arial" w:hAnsi="Arial" w:cs="Arial"/>
                <w:sz w:val="20"/>
                <w:szCs w:val="20"/>
                <w:lang w:eastAsia="hr-HR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eastAsia="hr-HR"/>
              </w:rPr>
              <w:fldChar w:fldCharType="end"/>
            </w:r>
          </w:p>
        </w:tc>
      </w:tr>
    </w:tbl>
    <w:p w:rsidR="004D2D6A" w:rsidRDefault="004D2D6A"/>
    <w:sectPr w:rsidR="004D2D6A" w:rsidSect="00CF0DBC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A57A4"/>
    <w:multiLevelType w:val="hybridMultilevel"/>
    <w:tmpl w:val="2F4CCC74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hyphenationZone w:val="425"/>
  <w:characterSpacingControl w:val="doNotCompress"/>
  <w:compat/>
  <w:rsids>
    <w:rsidRoot w:val="00861856"/>
    <w:rsid w:val="001748B6"/>
    <w:rsid w:val="00471F6B"/>
    <w:rsid w:val="004855BF"/>
    <w:rsid w:val="004D2D6A"/>
    <w:rsid w:val="00590EF4"/>
    <w:rsid w:val="00636B57"/>
    <w:rsid w:val="00637972"/>
    <w:rsid w:val="00683E13"/>
    <w:rsid w:val="006879A6"/>
    <w:rsid w:val="00861856"/>
    <w:rsid w:val="00894E57"/>
    <w:rsid w:val="008C448A"/>
    <w:rsid w:val="0091235F"/>
    <w:rsid w:val="00A91E29"/>
    <w:rsid w:val="00CF0DBC"/>
    <w:rsid w:val="00D81A8B"/>
    <w:rsid w:val="00E53A4B"/>
    <w:rsid w:val="00EF402C"/>
    <w:rsid w:val="00F579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61856"/>
    <w:rPr>
      <w:rFonts w:ascii="Times New Roman" w:hAnsi="Times New Roman" w:cs="Times New Roman" w:hint="default"/>
      <w:b/>
      <w:bCs/>
    </w:rPr>
  </w:style>
  <w:style w:type="paragraph" w:styleId="ListParagraph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1856"/>
    <w:rPr>
      <w:rFonts w:ascii="Calibri" w:eastAsia="Calibri" w:hAnsi="Calibri" w:cs="Times New Roman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qFormat/>
    <w:rsid w:val="00861856"/>
    <w:rPr>
      <w:rFonts w:ascii="Times New Roman" w:hAnsi="Times New Roman" w:cs="Times New Roman" w:hint="default"/>
      <w:b/>
      <w:bCs/>
    </w:rPr>
  </w:style>
  <w:style w:type="paragraph" w:styleId="ListParagraph">
    <w:name w:val="List Paragraph"/>
    <w:basedOn w:val="Normal"/>
    <w:uiPriority w:val="34"/>
    <w:qFormat/>
    <w:rsid w:val="00861856"/>
    <w:pPr>
      <w:ind w:left="720"/>
      <w:contextualSpacing/>
    </w:pPr>
  </w:style>
  <w:style w:type="paragraph" w:customStyle="1" w:styleId="FieldText">
    <w:name w:val="Field Text"/>
    <w:basedOn w:val="Normal"/>
    <w:rsid w:val="00861856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7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Tadić</dc:creator>
  <cp:lastModifiedBy>sumic</cp:lastModifiedBy>
  <cp:revision>2</cp:revision>
  <dcterms:created xsi:type="dcterms:W3CDTF">2018-06-04T09:47:00Z</dcterms:created>
  <dcterms:modified xsi:type="dcterms:W3CDTF">2018-06-04T09:47:00Z</dcterms:modified>
</cp:coreProperties>
</file>